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6A" w:rsidRPr="00E8396A" w:rsidRDefault="00E8396A" w:rsidP="00E8396A">
      <w:pPr>
        <w:spacing w:after="0" w:line="216" w:lineRule="atLeast"/>
        <w:outlineLvl w:val="0"/>
        <w:rPr>
          <w:rFonts w:eastAsia="Times New Roman" w:cstheme="minorHAnsi"/>
          <w:b/>
          <w:i/>
          <w:color w:val="00B050"/>
          <w:kern w:val="36"/>
          <w:sz w:val="48"/>
          <w:szCs w:val="48"/>
          <w:lang w:eastAsia="ru-RU"/>
        </w:rPr>
      </w:pPr>
      <w:r w:rsidRPr="00E8396A">
        <w:rPr>
          <w:rFonts w:eastAsia="Times New Roman" w:cstheme="minorHAnsi"/>
          <w:b/>
          <w:i/>
          <w:color w:val="00B050"/>
          <w:kern w:val="36"/>
          <w:sz w:val="48"/>
          <w:szCs w:val="48"/>
          <w:lang w:eastAsia="ru-RU"/>
        </w:rPr>
        <w:t>Лечение деревьев при помощи инъекций</w:t>
      </w:r>
    </w:p>
    <w:p w:rsidR="00E8396A" w:rsidRPr="00E8396A" w:rsidRDefault="00E8396A" w:rsidP="00E8396A">
      <w:pPr>
        <w:spacing w:before="300" w:after="0" w:line="312" w:lineRule="atLeast"/>
        <w:ind w:firstLine="240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</w:pPr>
      <w:r w:rsidRPr="00E8396A">
        <w:rPr>
          <w:rFonts w:ascii="Arial" w:eastAsia="Times New Roman" w:hAnsi="Arial" w:cs="Arial"/>
          <w:noProof/>
          <w:color w:val="8BBD02"/>
          <w:sz w:val="18"/>
          <w:szCs w:val="18"/>
          <w:lang w:eastAsia="ru-RU"/>
        </w:rPr>
        <w:drawing>
          <wp:inline distT="0" distB="0" distL="0" distR="0" wp14:anchorId="7B39D31D" wp14:editId="7464E97B">
            <wp:extent cx="2001520" cy="1598295"/>
            <wp:effectExtent l="0" t="0" r="0" b="1905"/>
            <wp:docPr id="1" name="Рисунок 1" descr="Инъекции дереву">
              <a:hlinkClick xmlns:a="http://schemas.openxmlformats.org/drawingml/2006/main" r:id="rId5" tooltip="&quot;Инъекции для деревье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ъекции дереву">
                      <a:hlinkClick r:id="rId5" tooltip="&quot;Инъекции для деревье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96A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В настоящий момент в России лишь начинает формироваться рынок услуг по лечению деревьев при помощи инъекций (уколов), в то время как в США эти услуги предоставляются достаточно давно. Более 20 лет назад в США была сертифицирована система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Арборжет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". Еще во времена СССР отечественными специалистами был разработан и научно обоснован метод инъекций в ствол дерева. Этот метод позволяет справиться с насекомыми-вредителями, болезнями деревьев, связанными с грибными и бактериальными поражениями и с дефицитом питания. К сожалению, у нас этот метод так и остался на стадии научных разработок. В США идея была подхвачена, развита и поставлена на промышленные рельсы. Созданная в США система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Арборжет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</w:t>
      </w:r>
      <w:r w:rsidRPr="00D7227D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</w:t>
      </w:r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не имеет аналогов в мире. Технология введения лечебных веще</w:t>
      </w:r>
      <w:proofErr w:type="gram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ств ств</w:t>
      </w:r>
      <w:proofErr w:type="gram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ол дерева инъекциями (уколами) и сами лечебные препараты, разработанные в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Арборжет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", не причиняют вреда дереву. Вводимые действующие вещества не проникают в окружающую среду и полностью распадаются в течение года.</w:t>
      </w:r>
    </w:p>
    <w:p w:rsidR="00E8396A" w:rsidRPr="00E8396A" w:rsidRDefault="00E8396A" w:rsidP="00E8396A">
      <w:pPr>
        <w:spacing w:before="300" w:after="0" w:line="312" w:lineRule="atLeast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</w:pPr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Есть много факторов, влияющих на успех лечения деревьев при помощи инъекций. Необходимо создавать достаточное давление для движения лечебного препарата под корой. Для подачи лечебных веще</w:t>
      </w:r>
      <w:proofErr w:type="gram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ств в ств</w:t>
      </w:r>
      <w:proofErr w:type="gram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ол нужно использовать оборудование, которое подает жидкости в ствол с необходимым давлением.</w:t>
      </w:r>
      <w:r w:rsidRPr="00E839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E8396A">
        <w:rPr>
          <w:rFonts w:ascii="Arial" w:eastAsia="Times New Roman" w:hAnsi="Arial" w:cs="Arial"/>
          <w:noProof/>
          <w:color w:val="8BBD02"/>
          <w:sz w:val="18"/>
          <w:szCs w:val="18"/>
          <w:lang w:eastAsia="ru-RU"/>
        </w:rPr>
        <w:drawing>
          <wp:inline distT="0" distB="0" distL="0" distR="0" wp14:anchorId="5947C78E" wp14:editId="31BF89B9">
            <wp:extent cx="2737916" cy="4082400"/>
            <wp:effectExtent l="0" t="0" r="5715" b="0"/>
            <wp:docPr id="2" name="Рисунок 2" descr="Инъекции для деревьев">
              <a:hlinkClick xmlns:a="http://schemas.openxmlformats.org/drawingml/2006/main" r:id="rId7" tooltip="&quot;Инъекции для деревье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ъекции для деревьев">
                      <a:hlinkClick r:id="rId7" tooltip="&quot;Инъекции для деревье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64" cy="40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C2" w:rsidRPr="00272EC2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lastRenderedPageBreak/>
        <w:t xml:space="preserve">Входное отверстие в коре дерева, через которое подается лечебный препарат, должно быть оснащено специальными герметичными пробками. Пробки не позволяют жидкостям вытекать, не провоцируют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смолоотделение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хвойных деревьев и поддерживают нужное давление под корой. Сам препарат должен иметь в своем составе не только лечебные компоненты, но и вещества, улучшающие их транспортировку по стволу. При применении аналогов, не создающих необходимого давления под корой дерева, успех лечения гарантировать нельзя. Простые накопительные емкости (инъекции по системе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Маугет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" - это еще одна американская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техноллогия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инъекций, применяемая в нашей стране),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капельно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подающие препараты в ствол, могут не сработать в случае борьбы с короедом на хвойных деревьях - в хвойные деревья необходимо подавать действующее вещество под давлением. В системе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Маугет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 (или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Мауджет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 -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Mauget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") отверстия пробиваются "на глазок" и уходят слишком глубоко внутрь ствола. </w:t>
      </w:r>
      <w:proofErr w:type="gram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Кроме того, в случае неправильного применения данной технологии, на стволах деревьев остаются открытые раны, которые могут стать входным отверстием для проникновения инфекций (система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Маугет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" предполагает, что после снятия капельниц, каждое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отвертие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должно быть запечатано пробкой, но, к сожалению, у нас этого часто не делают, а просто замазывают раны садовым варом или вовсе оставляют капельницы в дереве, забыв про них).</w:t>
      </w:r>
      <w:proofErr w:type="gram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Маугет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" - это </w:t>
      </w:r>
      <w:proofErr w:type="gram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простая</w:t>
      </w:r>
      <w:proofErr w:type="gram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ситема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, не требующая профессиональной квалификации. В своей работе мы применяем и ее, но для хвойных деревьев рекомендуем все же использовать систему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Арборжет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", тем более</w:t>
      </w:r>
      <w:proofErr w:type="gram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,</w:t>
      </w:r>
      <w:proofErr w:type="gram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что стоимость инъекций по обеим технологиям практически одинаковая. В системе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Арборжет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 исключено оставление раневых поверхностей. Мы используем несколько технологий инъекций - ввод иглы непосредственно в нужную точку камбия специальным аппаратом, исключающим сверление и метод инъекций со сверлением коры на не глубину, необходимую для введения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плага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 - специальной герметичной п</w:t>
      </w:r>
      <w:r w:rsidR="00A07D65" w:rsidRPr="00D7227D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р</w:t>
      </w:r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обки, в которую и делается инъекция. Небольшой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плаг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не причиняет дереву вреда, он полностью герметичен и исключает проникновение инфекций внутрь ствола. Со временем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плаг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постепенно зарастает корой. При выборе метода инъекций необходима предварительная консультация специалиста. После Система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Арборжет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" отвечает всем необходимым требованиям и может использоваться не только для лечения деревьев от вредителей и болезней, но и для защиты деревьев от нападения насекомых, лечения грибных и инфекционных заболеваний, укрепления иммунитета деревьев. В зависимости от цели, в инъекциях применяется тот или иной препарат. Система хорошо зарекомендовала себя как одна из комплексных мер по </w:t>
      </w:r>
      <w:hyperlink r:id="rId9" w:tooltip="Борьба с короедом" w:history="1">
        <w:r w:rsidRPr="00E8396A">
          <w:rPr>
            <w:rFonts w:ascii="Arial" w:eastAsia="Times New Roman" w:hAnsi="Arial" w:cs="Arial"/>
            <w:i/>
            <w:color w:val="000000" w:themeColor="text1"/>
            <w:sz w:val="18"/>
            <w:szCs w:val="18"/>
            <w:lang w:eastAsia="ru-RU"/>
          </w:rPr>
          <w:t>борьбе с короедом</w:t>
        </w:r>
      </w:hyperlink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.</w:t>
      </w:r>
    </w:p>
    <w:p w:rsidR="00E8396A" w:rsidRPr="00E8396A" w:rsidRDefault="00E8396A" w:rsidP="00E8396A">
      <w:pPr>
        <w:spacing w:before="300" w:after="0" w:line="312" w:lineRule="atLeast"/>
        <w:ind w:firstLine="240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</w:pPr>
      <w:r w:rsidRPr="00E8396A">
        <w:rPr>
          <w:rFonts w:ascii="Arial" w:eastAsia="Times New Roman" w:hAnsi="Arial" w:cs="Arial"/>
          <w:noProof/>
          <w:color w:val="8BBD02"/>
          <w:sz w:val="18"/>
          <w:szCs w:val="18"/>
          <w:lang w:eastAsia="ru-RU"/>
        </w:rPr>
        <w:drawing>
          <wp:inline distT="0" distB="0" distL="0" distR="0" wp14:anchorId="2C0BE2B5" wp14:editId="5F050102">
            <wp:extent cx="4651200" cy="3100800"/>
            <wp:effectExtent l="0" t="0" r="0" b="4445"/>
            <wp:docPr id="3" name="Рисунок 3" descr="Инъекции - плаг в дереве">
              <a:hlinkClick xmlns:a="http://schemas.openxmlformats.org/drawingml/2006/main" r:id="rId10" tooltip="&quot;Инъекции для деревьев - пла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ъекции - плаг в дереве">
                      <a:hlinkClick r:id="rId10" tooltip="&quot;Инъекции для деревьев - пла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00" cy="3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D65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Внесение лечебных веществ в почву и опрыскивание крон и стволов деревьев менее результативно, чем </w:t>
      </w:r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lastRenderedPageBreak/>
        <w:t xml:space="preserve">использование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внутристволовых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инъекций. Инъекции применяются 1 раз в сезон и действуют в течение года, в то время как опрыскиваний требуется от 3 до 6 за сезон. Лечебные вещества, попадающие с инъекциями внутрь ствола, не смываются дождем и циркулируют в замкнутом пространстве, защищая дерево весь год. Применение стволовых инъекций для лечения и защиты деревьев в некоторых случаях ограничено. Для сильно ослабленных и поврежденных деревьев с нарушенным током, могут потребоваться альтернативные виды защиты.</w:t>
      </w:r>
    </w:p>
    <w:p w:rsidR="00E8396A" w:rsidRPr="00E8396A" w:rsidRDefault="00E8396A" w:rsidP="00E8396A">
      <w:pPr>
        <w:spacing w:before="300" w:after="0" w:line="312" w:lineRule="atLeast"/>
        <w:ind w:firstLine="240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</w:pPr>
      <w:r w:rsidRPr="00E8396A">
        <w:rPr>
          <w:rFonts w:ascii="Arial" w:eastAsia="Times New Roman" w:hAnsi="Arial" w:cs="Arial"/>
          <w:noProof/>
          <w:color w:val="8BBD02"/>
          <w:sz w:val="18"/>
          <w:szCs w:val="18"/>
          <w:lang w:eastAsia="ru-RU"/>
        </w:rPr>
        <w:drawing>
          <wp:inline distT="0" distB="0" distL="0" distR="0" wp14:anchorId="72799255" wp14:editId="3CEFAB49">
            <wp:extent cx="4658400" cy="3105600"/>
            <wp:effectExtent l="0" t="0" r="8890" b="0"/>
            <wp:docPr id="4" name="Рисунок 4" descr="Инъекции - введение иглы в дерево">
              <a:hlinkClick xmlns:a="http://schemas.openxmlformats.org/drawingml/2006/main" r:id="rId12" tooltip="&quot;Инъекции - введение иглы в дере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ъекции - введение иглы в дерево">
                      <a:hlinkClick r:id="rId12" tooltip="&quot;Инъекции - введение иглы в дере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21" cy="310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D65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                   </w:t>
      </w:r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Инъекции по системе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Арборжет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" применяются с успехом в нашей стране в </w:t>
      </w:r>
      <w:hyperlink r:id="rId14" w:tooltip="Борьба с короедом" w:history="1">
        <w:r w:rsidRPr="00E8396A">
          <w:rPr>
            <w:rFonts w:ascii="Arial" w:eastAsia="Times New Roman" w:hAnsi="Arial" w:cs="Arial"/>
            <w:i/>
            <w:color w:val="000000" w:themeColor="text1"/>
            <w:sz w:val="18"/>
            <w:szCs w:val="18"/>
            <w:lang w:eastAsia="ru-RU"/>
          </w:rPr>
          <w:t>борьбе с короедом</w:t>
        </w:r>
      </w:hyperlink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, с дубовой листоверткой, сосновым пилильщиком и другими видами вредителей. Инъекции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фунгицидных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препаратов применяются для торможения язвенных,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некрозных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 xml:space="preserve"> и раковых заболеваний деревьев, в борьбе с ржавчинами, 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Шютте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, пятнистостями и сосудистыми заболеваниями деревьев. Для ослабленных деревьев и крупномеров, перенесших недавнюю пересадку, используются инъекции иммуномодулирующих препаратов, стимуляторов и питательных комплексов. Для каждого конкретного случая подбирается тот или иной вид лечения. Для достижения наилучшего результата возможна комбинация препаратов. Наши специалисты прошли стажировку в США по лечению деревьев при помощи инъекций "</w:t>
      </w:r>
      <w:proofErr w:type="spellStart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Арборжет</w:t>
      </w:r>
      <w:proofErr w:type="spellEnd"/>
      <w:r w:rsidRPr="00E8396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".</w:t>
      </w:r>
    </w:p>
    <w:p w:rsidR="003F2CF8" w:rsidRDefault="00E8396A" w:rsidP="003F2CF8">
      <w:pPr>
        <w:spacing w:before="300" w:after="0" w:line="312" w:lineRule="atLeast"/>
        <w:jc w:val="both"/>
      </w:pPr>
      <w:r w:rsidRPr="00E8396A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 xml:space="preserve">Стоимость выезда лесопатолога в пределах </w:t>
      </w:r>
      <w:r w:rsidR="00D7227D" w:rsidRPr="003F2CF8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>Новосибирской</w:t>
      </w:r>
      <w:r w:rsidRPr="00E8396A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 xml:space="preserve"> области с консультацией и составлению рекомендаций по самостоятельным мерам лечения растений и, в случае необходимости, составлением плана мероприятий и сметы по профессиональным мероприятиям - </w:t>
      </w:r>
      <w:r w:rsidRPr="00E8396A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  <w:t>5000 рублей</w:t>
      </w:r>
      <w:r w:rsidRPr="00E8396A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 xml:space="preserve">. При проведении каких-либо работ сразу на месте (опрыскивание, инъекции и проч.), выезд осуществляется бесплатно. </w:t>
      </w:r>
      <w:r w:rsidRPr="00E8396A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  <w:t xml:space="preserve">Стоимость </w:t>
      </w:r>
      <w:proofErr w:type="spellStart"/>
      <w:r w:rsidRPr="00E8396A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  <w:t>инъеций</w:t>
      </w:r>
      <w:proofErr w:type="spellEnd"/>
      <w:r w:rsidR="00D7227D" w:rsidRPr="00BA4AE0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  <w:t xml:space="preserve"> от </w:t>
      </w:r>
      <w:r w:rsidR="003F2CF8" w:rsidRPr="00BA4AE0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  <w:t>5</w:t>
      </w:r>
      <w:r w:rsidR="00D7227D" w:rsidRPr="00BA4AE0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  <w:t>000 до 10</w:t>
      </w:r>
      <w:r w:rsidRPr="00E8396A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  <w:t xml:space="preserve">000 рублей за дерево </w:t>
      </w:r>
      <w:r w:rsidRPr="00E8396A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 xml:space="preserve">в зависимости от применяемой технологии, породы и величины дерева. Консультацию по конкретной проблеме и </w:t>
      </w:r>
      <w:proofErr w:type="gramStart"/>
      <w:r w:rsidRPr="00E8396A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>ценах</w:t>
      </w:r>
      <w:proofErr w:type="gramEnd"/>
      <w:r w:rsidRPr="00E8396A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 xml:space="preserve"> на наши работы Вы можете получить у наших специалистов</w:t>
      </w:r>
      <w:r w:rsidR="003F2CF8" w:rsidRPr="003F2CF8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>.</w:t>
      </w:r>
      <w:r w:rsidRPr="00E8396A">
        <w:rPr>
          <w:rFonts w:ascii="Arial" w:eastAsia="Times New Roman" w:hAnsi="Arial" w:cs="Arial"/>
          <w:i/>
          <w:color w:val="242424"/>
          <w:sz w:val="18"/>
          <w:szCs w:val="18"/>
          <w:lang w:eastAsia="ru-RU"/>
        </w:rPr>
        <w:t xml:space="preserve"> </w:t>
      </w:r>
    </w:p>
    <w:p w:rsidR="003F2CF8" w:rsidRDefault="003F2CF8" w:rsidP="003F2CF8">
      <w:bookmarkStart w:id="0" w:name="_GoBack"/>
      <w:bookmarkEnd w:id="0"/>
    </w:p>
    <w:p w:rsidR="003F2CF8" w:rsidRPr="003F1953" w:rsidRDefault="003F2CF8" w:rsidP="003F2CF8">
      <w:pPr>
        <w:tabs>
          <w:tab w:val="center" w:pos="4153"/>
          <w:tab w:val="right" w:pos="8306"/>
        </w:tabs>
        <w:spacing w:after="0" w:line="240" w:lineRule="auto"/>
        <w:ind w:right="-851"/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 ЛАНДШАФТНО-АРХИТЕКТУРНОЕ  предприятие  « Сады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Сибири »                 </w:t>
      </w:r>
    </w:p>
    <w:p w:rsidR="003F2CF8" w:rsidRPr="003F1953" w:rsidRDefault="003F2CF8" w:rsidP="003F2CF8">
      <w:pPr>
        <w:tabs>
          <w:tab w:val="center" w:pos="4153"/>
          <w:tab w:val="right" w:pos="8306"/>
        </w:tabs>
        <w:spacing w:after="0" w:line="240" w:lineRule="auto"/>
        <w:ind w:right="-851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Новосибирск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   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ГОГОЛЯ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>-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офис-301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       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 xml:space="preserve">тел.+7913-903-0361,  тел.+7913-945-9232,  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igor</w:t>
      </w:r>
      <w:proofErr w:type="spellEnd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-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vorob</w:t>
      </w:r>
      <w:proofErr w:type="spellEnd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@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mail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.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F328E2" w:rsidRPr="003F2CF8" w:rsidRDefault="00F328E2" w:rsidP="003F2CF8"/>
    <w:sectPr w:rsidR="00F328E2" w:rsidRPr="003F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A"/>
    <w:rsid w:val="00272EC2"/>
    <w:rsid w:val="003F2CF8"/>
    <w:rsid w:val="00A07D65"/>
    <w:rsid w:val="00BA4AE0"/>
    <w:rsid w:val="00D7227D"/>
    <w:rsid w:val="00E8396A"/>
    <w:rsid w:val="00F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9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zellandia.ru/images/cms/data/zelland/img/inekcii_dlya_derevyev2.jpg" TargetMode="External"/><Relationship Id="rId12" Type="http://schemas.openxmlformats.org/officeDocument/2006/relationships/hyperlink" Target="http://zellandia.ru/images/cms/data/zelland/img/inekciya2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zellandia.ru/files/inekcii_derevu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ellandia.ru/images/cms/data/zelland/img/inekcii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llandia.ru/uslugi/uhod_za_sadom/lechenie_hvoynih_derevev_eli_ot_koroeda/" TargetMode="External"/><Relationship Id="rId14" Type="http://schemas.openxmlformats.org/officeDocument/2006/relationships/hyperlink" Target="http://zellandia.ru/uslugi/uhod_za_sadom/lechenie_hvoynih_derevev_eli_ot_koro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2012-09-25T14:15:00Z</dcterms:created>
  <dcterms:modified xsi:type="dcterms:W3CDTF">2012-09-25T14:15:00Z</dcterms:modified>
</cp:coreProperties>
</file>